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377"/>
        <w:gridCol w:w="1803"/>
        <w:gridCol w:w="859"/>
        <w:gridCol w:w="882"/>
        <w:gridCol w:w="1798"/>
        <w:gridCol w:w="1208"/>
        <w:gridCol w:w="952"/>
        <w:gridCol w:w="1243"/>
        <w:gridCol w:w="766"/>
        <w:gridCol w:w="859"/>
        <w:gridCol w:w="1242"/>
        <w:gridCol w:w="122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465" w:hRule="atLeast"/>
        </w:trPr>
        <w:tc>
          <w:tcPr>
            <w:tcW w:w="15428" w:type="dxa"/>
            <w:gridSpan w:val="13"/>
            <w:tcBorders>
              <w:tl2br w:val="nil"/>
              <w:tr2bl w:val="nil"/>
            </w:tcBorders>
            <w:shd w:val="cle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bookmarkStart w:id="0" w:name="_GoBack"/>
            <w:r>
              <w:rPr>
                <w:rFonts w:hint="eastAsia" w:ascii="黑体" w:hAnsi="宋体" w:eastAsia="黑体" w:cs="黑体"/>
                <w:i w:val="0"/>
                <w:color w:val="000000"/>
                <w:kern w:val="0"/>
                <w:sz w:val="32"/>
                <w:szCs w:val="32"/>
                <w:u w:val="none"/>
                <w:lang w:val="en-US" w:eastAsia="zh-CN" w:bidi="ar"/>
              </w:rPr>
              <w:t>耕地占用税纳税申报表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450" w:hRule="atLeast"/>
        </w:trPr>
        <w:tc>
          <w:tcPr>
            <w:tcW w:w="3180" w:type="dxa"/>
            <w:gridSpan w:val="2"/>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纳税人识别号（统一社会信用代码）：</w:t>
            </w:r>
          </w:p>
        </w:tc>
        <w:tc>
          <w:tcPr>
            <w:tcW w:w="12248" w:type="dxa"/>
            <w:gridSpan w:val="11"/>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480" w:hRule="atLeast"/>
        </w:trPr>
        <w:tc>
          <w:tcPr>
            <w:tcW w:w="1377" w:type="dxa"/>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纳税人名称：</w:t>
            </w:r>
          </w:p>
        </w:tc>
        <w:tc>
          <w:tcPr>
            <w:tcW w:w="6550" w:type="dxa"/>
            <w:gridSpan w:val="5"/>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left"/>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left"/>
              <w:rPr>
                <w:rFonts w:hint="eastAsia" w:ascii="宋体" w:hAnsi="宋体" w:eastAsia="宋体" w:cs="宋体"/>
                <w:i w:val="0"/>
                <w:color w:val="000000"/>
                <w:sz w:val="21"/>
                <w:szCs w:val="21"/>
                <w:u w:val="none"/>
              </w:rPr>
            </w:pPr>
          </w:p>
        </w:tc>
        <w:tc>
          <w:tcPr>
            <w:tcW w:w="5306" w:type="dxa"/>
            <w:gridSpan w:val="5"/>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金额单位：人民币元（列至角分）；面积单位：平方米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6" w:hRule="atLeast"/>
        </w:trPr>
        <w:tc>
          <w:tcPr>
            <w:tcW w:w="1377"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耕地占用信息</w:t>
            </w:r>
          </w:p>
        </w:tc>
        <w:tc>
          <w:tcPr>
            <w:tcW w:w="180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项目（批次）名称</w:t>
            </w:r>
          </w:p>
        </w:tc>
        <w:tc>
          <w:tcPr>
            <w:tcW w:w="1741" w:type="dxa"/>
            <w:gridSpan w:val="2"/>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批准占地部门</w:t>
            </w:r>
          </w:p>
        </w:tc>
        <w:tc>
          <w:tcPr>
            <w:tcW w:w="2160" w:type="dxa"/>
            <w:gridSpan w:val="2"/>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批准占地文号</w:t>
            </w:r>
          </w:p>
        </w:tc>
        <w:tc>
          <w:tcPr>
            <w:tcW w:w="2867" w:type="dxa"/>
            <w:gridSpan w:val="3"/>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批准日期</w:t>
            </w:r>
          </w:p>
        </w:tc>
        <w:tc>
          <w:tcPr>
            <w:tcW w:w="1219" w:type="dxa"/>
            <w:tcBorders>
              <w:tl2br w:val="nil"/>
              <w:tr2bl w:val="nil"/>
            </w:tcBorders>
            <w:shd w:val="clear"/>
            <w:vAlign w:val="center"/>
          </w:tcPr>
          <w:p>
            <w:pP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占地位置</w:t>
            </w:r>
          </w:p>
        </w:tc>
        <w:tc>
          <w:tcPr>
            <w:tcW w:w="1741" w:type="dxa"/>
            <w:gridSpan w:val="2"/>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占地用途</w:t>
            </w:r>
          </w:p>
        </w:tc>
        <w:tc>
          <w:tcPr>
            <w:tcW w:w="2160" w:type="dxa"/>
            <w:gridSpan w:val="2"/>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占地方式</w:t>
            </w:r>
          </w:p>
        </w:tc>
        <w:tc>
          <w:tcPr>
            <w:tcW w:w="2867" w:type="dxa"/>
            <w:gridSpan w:val="3"/>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占地日期</w:t>
            </w:r>
          </w:p>
        </w:tc>
        <w:tc>
          <w:tcPr>
            <w:tcW w:w="1219" w:type="dxa"/>
            <w:tcBorders>
              <w:tl2br w:val="nil"/>
              <w:tr2bl w:val="nil"/>
            </w:tcBorders>
            <w:shd w:val="clear" w:color="auto" w:fill="FFFFFF"/>
            <w:vAlign w:val="center"/>
          </w:tcPr>
          <w:p>
            <w:pP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510"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经批准占地面积</w:t>
            </w:r>
          </w:p>
        </w:tc>
        <w:tc>
          <w:tcPr>
            <w:tcW w:w="1741" w:type="dxa"/>
            <w:gridSpan w:val="2"/>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实际占地面积</w:t>
            </w:r>
          </w:p>
        </w:tc>
        <w:tc>
          <w:tcPr>
            <w:tcW w:w="2160" w:type="dxa"/>
            <w:gridSpan w:val="2"/>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经济开发区</w:t>
            </w:r>
          </w:p>
        </w:tc>
        <w:tc>
          <w:tcPr>
            <w:tcW w:w="76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c>
          <w:tcPr>
            <w:tcW w:w="3321" w:type="dxa"/>
            <w:gridSpan w:val="3"/>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税额提高比例（%）</w:t>
            </w:r>
          </w:p>
        </w:tc>
        <w:tc>
          <w:tcPr>
            <w:tcW w:w="1219" w:type="dxa"/>
            <w:tcBorders>
              <w:tl2br w:val="nil"/>
              <w:tr2bl w:val="nil"/>
            </w:tcBorders>
            <w:shd w:val="clear" w:color="auto" w:fill="FFFFFF"/>
            <w:vAlign w:val="center"/>
          </w:tcPr>
          <w:p>
            <w:pP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630"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5342" w:type="dxa"/>
            <w:gridSpan w:val="4"/>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本期是否适用增值税小规模纳税人减征政策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(减免性质代码：14049901)</w:t>
            </w:r>
          </w:p>
        </w:tc>
        <w:tc>
          <w:tcPr>
            <w:tcW w:w="2160"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c>
          <w:tcPr>
            <w:tcW w:w="4110" w:type="dxa"/>
            <w:gridSpan w:val="4"/>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减征比例（%）</w:t>
            </w:r>
          </w:p>
        </w:tc>
        <w:tc>
          <w:tcPr>
            <w:tcW w:w="2439" w:type="dxa"/>
            <w:gridSpan w:val="2"/>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0" w:hRule="atLeast"/>
        </w:trPr>
        <w:tc>
          <w:tcPr>
            <w:tcW w:w="1377"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计税信息</w:t>
            </w:r>
          </w:p>
        </w:tc>
        <w:tc>
          <w:tcPr>
            <w:tcW w:w="1803"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类别        项目</w:t>
            </w:r>
          </w:p>
        </w:tc>
        <w:tc>
          <w:tcPr>
            <w:tcW w:w="859"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计税面积</w:t>
            </w:r>
          </w:p>
        </w:tc>
        <w:tc>
          <w:tcPr>
            <w:tcW w:w="2680" w:type="dxa"/>
            <w:gridSpan w:val="2"/>
            <w:tcBorders>
              <w:tl2br w:val="nil"/>
              <w:tr2bl w:val="nil"/>
            </w:tcBorders>
            <w:shd w:val="cle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1208"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适用税额</w:t>
            </w:r>
          </w:p>
        </w:tc>
        <w:tc>
          <w:tcPr>
            <w:tcW w:w="952"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计征税额</w:t>
            </w:r>
          </w:p>
        </w:tc>
        <w:tc>
          <w:tcPr>
            <w:tcW w:w="1243"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减免性质代码</w:t>
            </w:r>
          </w:p>
        </w:tc>
        <w:tc>
          <w:tcPr>
            <w:tcW w:w="766"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减税税额</w:t>
            </w:r>
          </w:p>
        </w:tc>
        <w:tc>
          <w:tcPr>
            <w:tcW w:w="859"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免税税额</w:t>
            </w:r>
          </w:p>
        </w:tc>
        <w:tc>
          <w:tcPr>
            <w:tcW w:w="1242"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本期增值税小规模纳税人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减征额</w:t>
            </w:r>
          </w:p>
        </w:tc>
        <w:tc>
          <w:tcPr>
            <w:tcW w:w="1220"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已缴税额</w:t>
            </w:r>
          </w:p>
        </w:tc>
        <w:tc>
          <w:tcPr>
            <w:tcW w:w="1219" w:type="dxa"/>
            <w:vMerge w:val="restart"/>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应缴税额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615"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减税面积</w:t>
            </w:r>
          </w:p>
        </w:tc>
        <w:tc>
          <w:tcPr>
            <w:tcW w:w="1798"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免税面积</w:t>
            </w:r>
          </w:p>
        </w:tc>
        <w:tc>
          <w:tcPr>
            <w:tcW w:w="1208"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总计</w:t>
            </w: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耕地（基本农田）</w:t>
            </w: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耕地（非基本农田）</w:t>
            </w: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园地</w:t>
            </w: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牧草地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农田水利用地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养殖水面</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渔业水域滩涂</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苇田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其他类型土地</w:t>
            </w: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286" w:hRule="atLeast"/>
        </w:trPr>
        <w:tc>
          <w:tcPr>
            <w:tcW w:w="1377" w:type="dxa"/>
            <w:vMerge w:val="continue"/>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803" w:type="dxa"/>
            <w:tcBorders>
              <w:tl2br w:val="nil"/>
              <w:tr2bl w:val="nil"/>
            </w:tcBorders>
            <w:shd w:val="clear"/>
            <w:vAlign w:val="bottom"/>
          </w:tcPr>
          <w:p>
            <w:pPr>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8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798" w:type="dxa"/>
            <w:tcBorders>
              <w:tl2br w:val="nil"/>
              <w:tr2bl w:val="nil"/>
            </w:tcBorders>
            <w:shd w:val="clear" w:color="auto" w:fill="FFFFFF"/>
            <w:vAlign w:val="center"/>
          </w:tcPr>
          <w:p>
            <w:pPr>
              <w:jc w:val="center"/>
              <w:rPr>
                <w:rFonts w:hint="eastAsia" w:ascii="宋体" w:hAnsi="宋体" w:eastAsia="宋体" w:cs="宋体"/>
                <w:i w:val="0"/>
                <w:color w:val="000000"/>
                <w:sz w:val="21"/>
                <w:szCs w:val="21"/>
                <w:u w:val="none"/>
              </w:rPr>
            </w:pPr>
          </w:p>
        </w:tc>
        <w:tc>
          <w:tcPr>
            <w:tcW w:w="1208"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95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3"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766"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85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42"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20"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c>
          <w:tcPr>
            <w:tcW w:w="1219" w:type="dxa"/>
            <w:tcBorders>
              <w:tl2br w:val="nil"/>
              <w:tr2bl w:val="nil"/>
            </w:tcBorders>
            <w:shd w:val="cle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885"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谨声明：本纳税申报表是根据国家税收法律法规及相关规定填报的，是真实的、可靠的、完整的。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纳税人（签章）：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1170" w:hRule="atLeast"/>
        </w:trPr>
        <w:tc>
          <w:tcPr>
            <w:tcW w:w="6719" w:type="dxa"/>
            <w:gridSpan w:val="5"/>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经办人：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经办人身份证号：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代理机构签章：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代理机构统一社会信用代码：</w:t>
            </w:r>
          </w:p>
        </w:tc>
        <w:tc>
          <w:tcPr>
            <w:tcW w:w="8709" w:type="dxa"/>
            <w:gridSpan w:val="8"/>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受理税务机关（章）：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6" w:hRule="atLeast"/>
        </w:trPr>
        <w:tc>
          <w:tcPr>
            <w:tcW w:w="1377" w:type="dxa"/>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填表说明:</w:t>
            </w:r>
          </w:p>
        </w:tc>
        <w:tc>
          <w:tcPr>
            <w:tcW w:w="1803"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882"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798"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208"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952"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243"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766"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859"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242"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220"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c>
          <w:tcPr>
            <w:tcW w:w="1219" w:type="dxa"/>
            <w:tcBorders>
              <w:tl2br w:val="nil"/>
              <w:tr2bl w:val="nil"/>
            </w:tcBorders>
            <w:shd w:val="clear"/>
            <w:vAlign w:val="center"/>
          </w:tcPr>
          <w:p>
            <w:pPr>
              <w:jc w:val="lef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本表依据《中华人民共和国税收征收管理法》《中华人民共和国耕地占用税暂行条例》及其实施细则制定。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555"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 本申报表适用于在中华人民共和国境内占用耕地建房或者从事非农业建设的单位和个人。纳税人应当在收到领取农用地转用审批文件通知之日起或占用耕地之日起30日内，填报耕地占用税纳税申报表，向土地所在地税务机关申报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3.纳税人识别号（统一社会信用代码）：填报税务机关核发的纳税人识别号或有关部门核发的统一社会信用代码。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405"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4.纳税人名称：填报营业执照、税务登记证等证件载明的纳税人名称。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5.耕地占用信息栏：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项目（批次）名称：按照政府农用地转用审批文件中标明的项目或批次名称填写。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批准占地部门、批准占地文号：属于批准占地的，填写有权审批农用地转用的政府名称及批准农用地转用文件的文号。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70"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用途：经批准占地的，按照政府农用地转用审批文件中明确的土地储备、交通基础设施建设（其中铁路线路、公路线路、飞机场跑道、停机坪、港口、航道等适用2元/平方米税额占地项目必须在栏目中详细列明）、工业建设、商业建设、住宅建设、农村居民建房、军事设施、学校、幼儿园、医院、养老院和其他等项目分类填写；未经批准占地的，按照实际占地情况，区分交通基础设施建设、工业建设、商业建设、住宅建设、农村居民建房、军事设施、学校、幼儿园、医院、养老院和其他等项目分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批准日期：属于经批准占地的，填写政府农用地转用审批文件的批准日期。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占地日期：属于未经批准占地的，填写实际占地的日期。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占地位置：占用耕地所属的县、镇（乡）、村名称。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占地方式：按照按批次转用、单独选址转用、批准临时占地、未批先占填写。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经批准占地面积：指政府农用地转用审批文件中批准的农用地转用面积。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实际占地面积：包括经批准占用的耕地面积和未经批准占用的耕地面积。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经济开发区：占地位于经济特区、经济技术开发区和经济发达且人均耕地特别少的地区，适用税额提高的，勾选“是”；否则，勾选“否”。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税额提高比例：占地位于经济特区、经济技术开发区和经济发达且人均耕地特别少的地区，适用税额提高的，填写当地省级政府确定的具体税额提高比例。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1200"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期是否适用增值税小规模纳税人减征政策（减免性质代码：14049901）：纳税人自增值税一般纳税人按规定转登记为小规模纳税人的，自成为小规模纳税人的当月起适用减征优惠。增值税小规模纳税人按规定登记为一般纳税人的,自一般纳税人生效之日起不再适用减征优惠；增值税年应税销售额超过小规模纳税人标准应当登记为一般纳税人而未登记，经税务机关通知，逾期仍不办理登记的，自逾期次月起不再适用减征优惠。纳税人本期适用增值税小规模纳税人减征政策的，勾选“是”；否则，勾选“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减征比例（%）：当地省级政府根据财税〔2019〕13号文件确定的减征比例，系统自动带出。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810"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计税信息栏：按照占用耕地类别分别填写、分别计算，总计=耕地（基本农田）+耕地（非基本农田）+园地+林地+牧草地+农田水利用地+养殖水面+渔业水域滩涂+草地+苇田+其他类型用地（面积、税额），应缴税额=计征税额×（1+税额提高比例）-减税税额-免税税额-增值税小规模纳税人减征额-已缴税额，计征税额=计税面积×适用税额，减税面积、免税面积、减税税额、免税税额按照减免税备案信息直接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适用税额：指该地类在当地适用的单位税额，此处不考虑经济特区、经济技术开发区和经济发达且人均耕地特别少适用税额提高的情况。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510"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减免性质代码：该项按照国家税务总局制定下发的最新《减免税政策代码目录》中的最细项减免性质代码填写。有减免税情况的必填。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本期增值税小规模纳税人减征额：反映符合条件的增值税小规模纳税人按减征比例计算的减征额。减征额=[计征税额×（1+税额提高比例）-减税税额-免税税额]×减征比例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该表减免税相关信息应与《纳税人减免税备案登记表》信息保持一致。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如有同一土地类别下享受多条减免税政策的情况，请使用预留的空白行填写。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316" w:hRule="atLeast"/>
        </w:trPr>
        <w:tc>
          <w:tcPr>
            <w:tcW w:w="15428" w:type="dxa"/>
            <w:gridSpan w:val="13"/>
            <w:tcBorders>
              <w:tl2br w:val="nil"/>
              <w:tr2bl w:val="nil"/>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7.本表一式两份，一份纳税人留存，一份税务机关留存。</w:t>
            </w:r>
          </w:p>
        </w:tc>
      </w:tr>
    </w:tbl>
    <w:p/>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76629"/>
    <w:rsid w:val="06976629"/>
    <w:rsid w:val="09181A76"/>
    <w:rsid w:val="15565D3E"/>
    <w:rsid w:val="1687588F"/>
    <w:rsid w:val="1A6A544B"/>
    <w:rsid w:val="212265B1"/>
    <w:rsid w:val="228D3770"/>
    <w:rsid w:val="258F10D5"/>
    <w:rsid w:val="2912582F"/>
    <w:rsid w:val="2EEF56E6"/>
    <w:rsid w:val="35EC52D6"/>
    <w:rsid w:val="37844198"/>
    <w:rsid w:val="3B8B7380"/>
    <w:rsid w:val="3BA070BC"/>
    <w:rsid w:val="436130AA"/>
    <w:rsid w:val="4C254160"/>
    <w:rsid w:val="5D514187"/>
    <w:rsid w:val="618E615B"/>
    <w:rsid w:val="65003172"/>
    <w:rsid w:val="65B01D62"/>
    <w:rsid w:val="793E193F"/>
    <w:rsid w:val="7E341F4D"/>
    <w:rsid w:val="7FE0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paragraph" w:styleId="2">
    <w:name w:val="heading 1"/>
    <w:basedOn w:val="1"/>
    <w:next w:val="1"/>
    <w:link w:val="9"/>
    <w:qFormat/>
    <w:uiPriority w:val="0"/>
    <w:pPr>
      <w:keepNext/>
      <w:keepLines/>
      <w:widowControl/>
      <w:topLinePunct/>
      <w:spacing w:before="340" w:beforeLines="0" w:beforeAutospacing="0" w:after="330" w:afterLines="0" w:afterAutospacing="0" w:line="240" w:lineRule="auto"/>
      <w:ind w:leftChars="100"/>
      <w:jc w:val="left"/>
      <w:outlineLvl w:val="0"/>
    </w:pPr>
    <w:rPr>
      <w:rFonts w:ascii="Calibri" w:hAnsi="Calibri" w:cs="Times New Roman"/>
      <w:b/>
      <w:kern w:val="44"/>
      <w:sz w:val="28"/>
    </w:rPr>
  </w:style>
  <w:style w:type="paragraph" w:styleId="3">
    <w:name w:val="heading 2"/>
    <w:basedOn w:val="1"/>
    <w:next w:val="4"/>
    <w:link w:val="10"/>
    <w:semiHidden/>
    <w:unhideWhenUsed/>
    <w:qFormat/>
    <w:uiPriority w:val="0"/>
    <w:pPr>
      <w:keepNext/>
      <w:keepLines/>
      <w:autoSpaceDE w:val="0"/>
      <w:autoSpaceDN w:val="0"/>
      <w:adjustRightInd w:val="0"/>
      <w:spacing w:before="120" w:line="300" w:lineRule="auto"/>
      <w:jc w:val="center"/>
      <w:outlineLvl w:val="1"/>
    </w:pPr>
    <w:rPr>
      <w:rFonts w:ascii="Arial" w:hAnsi="Arial"/>
      <w:b/>
      <w:kern w:val="0"/>
      <w:sz w:val="28"/>
    </w:rPr>
  </w:style>
  <w:style w:type="paragraph" w:styleId="5">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rFonts w:ascii="Calibri" w:hAnsi="Calibri" w:eastAsia="宋体" w:cs="Times New Roman"/>
      <w:b/>
      <w:sz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9">
    <w:name w:val="标题 1 Char"/>
    <w:link w:val="2"/>
    <w:qFormat/>
    <w:uiPriority w:val="0"/>
    <w:rPr>
      <w:rFonts w:ascii="Calibri" w:hAnsi="Calibri" w:eastAsia="宋体" w:cs="Times New Roman"/>
      <w:b/>
      <w:kern w:val="44"/>
      <w:sz w:val="28"/>
    </w:rPr>
  </w:style>
  <w:style w:type="character" w:customStyle="1" w:styleId="10">
    <w:name w:val="标题 2 Char"/>
    <w:link w:val="3"/>
    <w:qFormat/>
    <w:uiPriority w:val="0"/>
    <w:rPr>
      <w:rFonts w:ascii="Arial" w:hAnsi="Arial" w:eastAsia="宋体"/>
      <w:b/>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2019-01-22T00:46:00Z</dcterms:created>
  <dc:creator>一定要靠自己</dc:creator>
  <cp:lastModifiedBy>一定要靠自己</cp:lastModifiedBy>
  <dcterms:modified xsi:type="dcterms:W3CDTF">2019-01-22T00:48:32Z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